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sz w:val="32"/>
          <w:szCs w:val="32"/>
        </w:rPr>
      </w:pPr>
      <w:r>
        <w:rPr>
          <w:rFonts w:hint="eastAsia" w:ascii="黑体" w:hAnsi="黑体" w:eastAsia="黑体" w:cs="黑体"/>
          <w:sz w:val="32"/>
          <w:szCs w:val="32"/>
        </w:rPr>
        <w:t>附件</w:t>
      </w:r>
      <w:bookmarkStart w:id="0" w:name="_GoBack"/>
      <w:bookmarkEnd w:id="0"/>
    </w:p>
    <w:p>
      <w:pPr>
        <w:widowControl/>
        <w:spacing w:line="440" w:lineRule="exact"/>
        <w:jc w:val="center"/>
        <w:rPr>
          <w:rFonts w:hint="eastAsia" w:ascii="黑体" w:hAnsi="黑体" w:eastAsia="黑体" w:cs="仿宋"/>
          <w:b/>
          <w:bCs/>
          <w:kern w:val="0"/>
          <w:sz w:val="44"/>
          <w:szCs w:val="44"/>
        </w:rPr>
      </w:pPr>
      <w:r>
        <w:rPr>
          <w:rFonts w:hint="eastAsia" w:ascii="黑体" w:hAnsi="黑体" w:eastAsia="黑体" w:cs="仿宋"/>
          <w:b/>
          <w:bCs/>
          <w:kern w:val="0"/>
          <w:sz w:val="44"/>
          <w:szCs w:val="44"/>
          <w:lang w:eastAsia="zh-CN"/>
        </w:rPr>
        <w:t>监理服务</w:t>
      </w:r>
      <w:r>
        <w:rPr>
          <w:rFonts w:hint="eastAsia" w:ascii="黑体" w:hAnsi="黑体" w:eastAsia="黑体" w:cs="仿宋"/>
          <w:b/>
          <w:bCs/>
          <w:kern w:val="0"/>
          <w:sz w:val="44"/>
          <w:szCs w:val="44"/>
        </w:rPr>
        <w:t>供应商评分表</w:t>
      </w:r>
    </w:p>
    <w:p>
      <w:pPr>
        <w:spacing w:line="520" w:lineRule="exact"/>
        <w:rPr>
          <w:rFonts w:hint="eastAsia" w:ascii="黑体" w:hAnsi="黑体" w:eastAsia="黑体" w:cs="仿宋"/>
          <w:kern w:val="0"/>
          <w:sz w:val="44"/>
          <w:szCs w:val="44"/>
        </w:rPr>
      </w:pPr>
    </w:p>
    <w:p>
      <w:pPr>
        <w:spacing w:line="520" w:lineRule="exact"/>
        <w:ind w:firstLine="600" w:firstLineChars="200"/>
        <w:rPr>
          <w:rFonts w:hint="eastAsia" w:ascii="仿宋_GB2312" w:hAnsi="仿宋" w:eastAsia="仿宋_GB2312" w:cs="仿宋"/>
          <w:sz w:val="30"/>
          <w:szCs w:val="30"/>
          <w:u w:val="single"/>
        </w:rPr>
      </w:pPr>
      <w:r>
        <w:rPr>
          <w:rFonts w:hint="eastAsia" w:ascii="仿宋_GB2312" w:hAnsi="仿宋" w:eastAsia="仿宋_GB2312" w:cs="仿宋"/>
          <w:sz w:val="30"/>
          <w:szCs w:val="30"/>
        </w:rPr>
        <w:t>项目名称：</w:t>
      </w:r>
      <w:r>
        <w:rPr>
          <w:rFonts w:hint="eastAsia" w:ascii="仿宋_GB2312" w:hAnsi="仿宋" w:eastAsia="仿宋_GB2312" w:cs="仿宋"/>
          <w:sz w:val="30"/>
          <w:szCs w:val="30"/>
          <w:u w:val="single"/>
        </w:rPr>
        <w:t xml:space="preserve"> 广西壮族自治区柳州航道养护中心办公楼消除安全隐患修缮改造工程、细柳巷8号原办公楼五楼拆除工程两个项目</w:t>
      </w:r>
      <w:r>
        <w:rPr>
          <w:rFonts w:hint="eastAsia" w:ascii="仿宋_GB2312" w:hAnsi="仿宋" w:eastAsia="仿宋_GB2312" w:cs="仿宋"/>
          <w:sz w:val="30"/>
          <w:szCs w:val="30"/>
          <w:u w:val="single"/>
          <w:lang w:eastAsia="zh-CN"/>
        </w:rPr>
        <w:t>施工工作监理服务</w:t>
      </w:r>
      <w:r>
        <w:rPr>
          <w:rFonts w:hint="eastAsia" w:ascii="仿宋_GB2312" w:hAnsi="仿宋" w:eastAsia="仿宋_GB2312" w:cs="仿宋"/>
          <w:sz w:val="30"/>
          <w:szCs w:val="30"/>
          <w:u w:val="single"/>
        </w:rPr>
        <w:t xml:space="preserve">  </w:t>
      </w:r>
    </w:p>
    <w:p>
      <w:pPr>
        <w:widowControl/>
        <w:spacing w:before="156" w:beforeLines="50" w:after="156" w:afterLines="50" w:line="44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按照内控流程对在规定的报名期限内报名并符合资格条件的投标供应商采取综合评分法进行评比，以总分最高者中标，同等分数下业绩分较高者中标，具体评分方法如下：</w:t>
      </w:r>
    </w:p>
    <w:p>
      <w:pPr>
        <w:widowControl/>
        <w:spacing w:before="156" w:beforeLines="50" w:after="156" w:afterLines="50" w:line="440" w:lineRule="exact"/>
        <w:ind w:firstLine="562" w:firstLineChars="200"/>
        <w:rPr>
          <w:rFonts w:hint="eastAsia" w:ascii="仿宋_GB2312" w:hAnsi="仿宋" w:eastAsia="仿宋_GB2312" w:cs="仿宋"/>
          <w:kern w:val="0"/>
          <w:sz w:val="30"/>
          <w:szCs w:val="30"/>
        </w:rPr>
      </w:pPr>
      <w:r>
        <w:rPr>
          <w:rFonts w:hint="eastAsia" w:ascii="仿宋_GB2312" w:hAnsi="仿宋" w:eastAsia="仿宋_GB2312" w:cs="仿宋"/>
          <w:b/>
          <w:bCs/>
          <w:sz w:val="28"/>
          <w:szCs w:val="28"/>
          <w:lang w:eastAsia="zh-CN"/>
        </w:rPr>
        <w:t>监理服务</w:t>
      </w:r>
      <w:r>
        <w:rPr>
          <w:rFonts w:hint="eastAsia" w:ascii="仿宋_GB2312" w:hAnsi="仿宋" w:eastAsia="仿宋_GB2312" w:cs="仿宋"/>
          <w:b/>
          <w:bCs/>
          <w:sz w:val="28"/>
          <w:szCs w:val="28"/>
        </w:rPr>
        <w:t>供应商名称</w:t>
      </w:r>
      <w:r>
        <w:rPr>
          <w:rFonts w:hint="eastAsia" w:ascii="仿宋_GB2312" w:hAnsi="仿宋" w:eastAsia="仿宋_GB2312" w:cs="仿宋"/>
          <w:sz w:val="28"/>
          <w:szCs w:val="28"/>
        </w:rPr>
        <w:t>：</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tbl>
      <w:tblPr>
        <w:tblStyle w:val="3"/>
        <w:tblW w:w="4994" w:type="pct"/>
        <w:jc w:val="center"/>
        <w:tblLayout w:type="autofit"/>
        <w:tblCellMar>
          <w:top w:w="0" w:type="dxa"/>
          <w:left w:w="0" w:type="dxa"/>
          <w:bottom w:w="0" w:type="dxa"/>
          <w:right w:w="0" w:type="dxa"/>
        </w:tblCellMar>
      </w:tblPr>
      <w:tblGrid>
        <w:gridCol w:w="364"/>
        <w:gridCol w:w="1245"/>
        <w:gridCol w:w="4745"/>
        <w:gridCol w:w="1962"/>
      </w:tblGrid>
      <w:tr>
        <w:tblPrEx>
          <w:tblCellMar>
            <w:top w:w="0" w:type="dxa"/>
            <w:left w:w="0" w:type="dxa"/>
            <w:bottom w:w="0" w:type="dxa"/>
            <w:right w:w="0" w:type="dxa"/>
          </w:tblCellMar>
        </w:tblPrEx>
        <w:trPr>
          <w:trHeight w:val="637" w:hRule="atLeast"/>
          <w:jc w:val="center"/>
        </w:trPr>
        <w:tc>
          <w:tcPr>
            <w:tcW w:w="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仿宋_GB2312" w:hAnsi="宋体" w:eastAsia="仿宋_GB2312" w:cs="宋体"/>
                <w:b/>
                <w:bCs/>
                <w:sz w:val="24"/>
              </w:rPr>
            </w:pPr>
            <w:r>
              <w:rPr>
                <w:rFonts w:hint="eastAsia" w:ascii="仿宋_GB2312" w:hAnsi="宋体" w:eastAsia="仿宋_GB2312" w:cs="宋体"/>
                <w:b/>
                <w:bCs/>
                <w:sz w:val="24"/>
              </w:rPr>
              <w:t>序号</w:t>
            </w:r>
          </w:p>
        </w:tc>
        <w:tc>
          <w:tcPr>
            <w:tcW w:w="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eastAsia="仿宋_GB2312" w:cs="宋体"/>
                <w:b/>
                <w:bCs/>
                <w:sz w:val="24"/>
              </w:rPr>
            </w:pPr>
            <w:r>
              <w:rPr>
                <w:rFonts w:hint="eastAsia" w:ascii="仿宋_GB2312" w:hAnsi="宋体" w:eastAsia="仿宋_GB2312" w:cs="宋体"/>
                <w:b/>
                <w:bCs/>
                <w:sz w:val="24"/>
              </w:rPr>
              <w:t>评审因素</w:t>
            </w:r>
          </w:p>
        </w:tc>
        <w:tc>
          <w:tcPr>
            <w:tcW w:w="28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eastAsia="仿宋_GB2312" w:cs="宋体"/>
                <w:b/>
                <w:bCs/>
                <w:sz w:val="24"/>
              </w:rPr>
            </w:pPr>
            <w:r>
              <w:rPr>
                <w:rFonts w:hint="eastAsia" w:ascii="仿宋_GB2312" w:hAnsi="宋体" w:eastAsia="仿宋_GB2312" w:cs="宋体"/>
                <w:b/>
                <w:bCs/>
                <w:sz w:val="24"/>
              </w:rPr>
              <w:t>评审标准</w:t>
            </w:r>
          </w:p>
        </w:tc>
        <w:tc>
          <w:tcPr>
            <w:tcW w:w="117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bCs/>
                <w:sz w:val="24"/>
              </w:rPr>
            </w:pPr>
            <w:r>
              <w:rPr>
                <w:rFonts w:hint="eastAsia" w:ascii="仿宋_GB2312" w:hAnsi="宋体" w:eastAsia="仿宋_GB2312" w:cs="宋体"/>
                <w:b/>
                <w:bCs/>
                <w:sz w:val="24"/>
              </w:rPr>
              <w:t>得分</w:t>
            </w:r>
          </w:p>
        </w:tc>
      </w:tr>
      <w:tr>
        <w:tblPrEx>
          <w:tblCellMar>
            <w:top w:w="0" w:type="dxa"/>
            <w:left w:w="0" w:type="dxa"/>
            <w:bottom w:w="0" w:type="dxa"/>
            <w:right w:w="0" w:type="dxa"/>
          </w:tblCellMar>
        </w:tblPrEx>
        <w:trPr>
          <w:trHeight w:val="638" w:hRule="atLeast"/>
          <w:jc w:val="center"/>
        </w:trPr>
        <w:tc>
          <w:tcPr>
            <w:tcW w:w="219" w:type="pct"/>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eastAsia="仿宋_GB2312" w:cs="宋体"/>
              </w:rPr>
            </w:pPr>
            <w:r>
              <w:rPr>
                <w:rFonts w:hint="eastAsia" w:ascii="仿宋_GB2312" w:hAnsi="宋体" w:eastAsia="仿宋_GB2312" w:cs="宋体"/>
              </w:rPr>
              <w:t>一</w:t>
            </w:r>
          </w:p>
        </w:tc>
        <w:tc>
          <w:tcPr>
            <w:tcW w:w="74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eastAsia="仿宋_GB2312" w:cs="宋体"/>
              </w:rPr>
            </w:pPr>
            <w:r>
              <w:rPr>
                <w:rFonts w:hint="eastAsia" w:ascii="仿宋_GB2312" w:hAnsi="宋体" w:eastAsia="仿宋_GB2312" w:cs="宋体"/>
              </w:rPr>
              <w:t>业绩情况（满分15分）</w:t>
            </w:r>
          </w:p>
        </w:tc>
        <w:tc>
          <w:tcPr>
            <w:tcW w:w="2851"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firstLine="210" w:firstLineChars="100"/>
              <w:jc w:val="left"/>
              <w:textAlignment w:val="center"/>
              <w:rPr>
                <w:rFonts w:hint="eastAsia" w:ascii="仿宋_GB2312" w:hAnsi="宋体" w:eastAsia="仿宋_GB2312" w:cs="宋体"/>
              </w:rPr>
            </w:pPr>
            <w:r>
              <w:rPr>
                <w:rFonts w:hint="eastAsia" w:ascii="仿宋_GB2312" w:hAnsi="宋体" w:eastAsia="仿宋_GB2312" w:cs="宋体"/>
              </w:rPr>
              <w:t>20</w:t>
            </w:r>
            <w:r>
              <w:rPr>
                <w:rFonts w:ascii="仿宋_GB2312" w:hAnsi="宋体" w:eastAsia="仿宋_GB2312" w:cs="宋体"/>
              </w:rPr>
              <w:t>20</w:t>
            </w:r>
            <w:r>
              <w:rPr>
                <w:rFonts w:hint="eastAsia" w:ascii="仿宋_GB2312" w:hAnsi="宋体" w:eastAsia="仿宋_GB2312" w:cs="宋体"/>
              </w:rPr>
              <w:t>年1月至投标截止前</w:t>
            </w:r>
            <w:r>
              <w:rPr>
                <w:rFonts w:hint="eastAsia" w:ascii="仿宋_GB2312" w:hAnsi="宋体" w:eastAsia="仿宋_GB2312" w:cs="宋体"/>
                <w:lang w:eastAsia="zh-CN"/>
              </w:rPr>
              <w:t>提供监理服务</w:t>
            </w:r>
            <w:r>
              <w:rPr>
                <w:rFonts w:hint="eastAsia" w:ascii="仿宋_GB2312" w:hAnsi="宋体" w:eastAsia="仿宋_GB2312" w:cs="宋体"/>
              </w:rPr>
              <w:t>的工程类采购项目金额</w:t>
            </w:r>
            <w:r>
              <w:rPr>
                <w:rFonts w:hint="eastAsia" w:ascii="仿宋_GB2312" w:hAnsi="宋体" w:eastAsia="仿宋_GB2312" w:cs="宋体"/>
                <w:lang w:val="en-US" w:eastAsia="zh-CN"/>
              </w:rPr>
              <w:t>100</w:t>
            </w:r>
            <w:r>
              <w:rPr>
                <w:rFonts w:hint="eastAsia" w:ascii="仿宋_GB2312" w:hAnsi="宋体" w:eastAsia="仿宋_GB2312" w:cs="宋体"/>
              </w:rPr>
              <w:t>万元（含）以上的，每项得5分。</w:t>
            </w:r>
          </w:p>
          <w:p>
            <w:pPr>
              <w:spacing w:line="300" w:lineRule="exact"/>
              <w:jc w:val="left"/>
              <w:textAlignment w:val="center"/>
              <w:rPr>
                <w:rFonts w:hint="eastAsia" w:ascii="仿宋_GB2312" w:hAnsi="宋体" w:eastAsia="仿宋_GB2312" w:cs="宋体"/>
              </w:rPr>
            </w:pPr>
            <w:r>
              <w:rPr>
                <w:rFonts w:hint="eastAsia" w:ascii="仿宋_GB2312" w:hAnsi="宋体" w:eastAsia="仿宋_GB2312" w:cs="宋体"/>
              </w:rPr>
              <w:t>注：提供合同协议或中标（成交）通知书复印件为评审依据。</w:t>
            </w:r>
          </w:p>
        </w:tc>
        <w:tc>
          <w:tcPr>
            <w:tcW w:w="1179" w:type="pct"/>
            <w:tcBorders>
              <w:top w:val="nil"/>
              <w:left w:val="single" w:color="000000" w:sz="4" w:space="0"/>
              <w:bottom w:val="single" w:color="000000" w:sz="4" w:space="0"/>
              <w:right w:val="single" w:color="000000" w:sz="4" w:space="0"/>
            </w:tcBorders>
          </w:tcPr>
          <w:p>
            <w:pPr>
              <w:widowControl/>
              <w:spacing w:line="300" w:lineRule="exact"/>
              <w:jc w:val="center"/>
              <w:textAlignment w:val="center"/>
              <w:rPr>
                <w:rFonts w:hint="eastAsia" w:ascii="仿宋_GB2312" w:hAnsi="宋体" w:eastAsia="仿宋_GB2312" w:cs="宋体"/>
                <w:b/>
                <w:bCs/>
                <w:sz w:val="24"/>
              </w:rPr>
            </w:pPr>
          </w:p>
        </w:tc>
      </w:tr>
      <w:tr>
        <w:tblPrEx>
          <w:tblCellMar>
            <w:top w:w="0" w:type="dxa"/>
            <w:left w:w="0" w:type="dxa"/>
            <w:bottom w:w="0" w:type="dxa"/>
            <w:right w:w="0" w:type="dxa"/>
          </w:tblCellMar>
        </w:tblPrEx>
        <w:trPr>
          <w:trHeight w:val="462" w:hRule="atLeast"/>
          <w:jc w:val="center"/>
        </w:trPr>
        <w:tc>
          <w:tcPr>
            <w:tcW w:w="219"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300" w:lineRule="exact"/>
              <w:jc w:val="center"/>
              <w:textAlignment w:val="center"/>
              <w:rPr>
                <w:rFonts w:hint="eastAsia" w:ascii="仿宋_GB2312" w:hAnsi="宋体" w:eastAsia="仿宋_GB2312" w:cs="宋体"/>
              </w:rPr>
            </w:pPr>
            <w:r>
              <w:rPr>
                <w:rFonts w:hint="eastAsia" w:ascii="仿宋_GB2312" w:hAnsi="宋体" w:eastAsia="仿宋_GB2312" w:cs="宋体"/>
              </w:rPr>
              <w:t>二</w:t>
            </w:r>
          </w:p>
        </w:tc>
        <w:tc>
          <w:tcPr>
            <w:tcW w:w="74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eastAsia="仿宋_GB2312" w:cs="宋体"/>
              </w:rPr>
            </w:pPr>
            <w:r>
              <w:rPr>
                <w:rFonts w:hint="eastAsia" w:ascii="仿宋_GB2312" w:hAnsi="宋体" w:eastAsia="仿宋_GB2312" w:cs="宋体"/>
              </w:rPr>
              <w:t>信誉情况（满分15分）</w:t>
            </w:r>
          </w:p>
        </w:tc>
        <w:tc>
          <w:tcPr>
            <w:tcW w:w="28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ind w:firstLine="210" w:firstLineChars="100"/>
              <w:textAlignment w:val="center"/>
              <w:rPr>
                <w:rFonts w:hint="eastAsia" w:ascii="仿宋_GB2312" w:eastAsia="仿宋_GB2312"/>
              </w:rPr>
            </w:pPr>
            <w:r>
              <w:rPr>
                <w:rFonts w:hint="eastAsia" w:ascii="仿宋_GB2312" w:hAnsi="宋体" w:eastAsia="仿宋_GB2312" w:cs="宋体"/>
              </w:rPr>
              <w:t>2020年至今每获得一项市级（含市级）以上行政机关、协会等颁发的</w:t>
            </w:r>
            <w:r>
              <w:rPr>
                <w:rFonts w:hint="eastAsia" w:ascii="仿宋_GB2312" w:hAnsi="宋体" w:eastAsia="仿宋_GB2312" w:cs="宋体"/>
                <w:lang w:eastAsia="zh-CN"/>
              </w:rPr>
              <w:t>监理方面的</w:t>
            </w:r>
            <w:r>
              <w:rPr>
                <w:rFonts w:hint="eastAsia" w:ascii="仿宋_GB2312" w:hAnsi="宋体" w:eastAsia="仿宋_GB2312" w:cs="宋体"/>
              </w:rPr>
              <w:t>荣誉得5分。注：提供荣誉证书复印件</w:t>
            </w:r>
          </w:p>
        </w:tc>
        <w:tc>
          <w:tcPr>
            <w:tcW w:w="1179" w:type="pct"/>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center"/>
              <w:rPr>
                <w:rFonts w:hint="eastAsia" w:ascii="仿宋_GB2312" w:hAnsi="宋体" w:eastAsia="仿宋_GB2312" w:cs="宋体"/>
                <w:b/>
                <w:bCs/>
                <w:sz w:val="24"/>
              </w:rPr>
            </w:pPr>
          </w:p>
        </w:tc>
      </w:tr>
      <w:tr>
        <w:tblPrEx>
          <w:tblCellMar>
            <w:top w:w="0" w:type="dxa"/>
            <w:left w:w="0" w:type="dxa"/>
            <w:bottom w:w="0" w:type="dxa"/>
            <w:right w:w="0" w:type="dxa"/>
          </w:tblCellMar>
        </w:tblPrEx>
        <w:trPr>
          <w:trHeight w:val="462" w:hRule="atLeast"/>
          <w:jc w:val="center"/>
        </w:trPr>
        <w:tc>
          <w:tcPr>
            <w:tcW w:w="219"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300" w:lineRule="exact"/>
              <w:jc w:val="center"/>
              <w:textAlignment w:val="center"/>
              <w:rPr>
                <w:rFonts w:hint="eastAsia" w:ascii="仿宋_GB2312" w:hAnsi="宋体" w:eastAsia="仿宋_GB2312" w:cs="宋体"/>
              </w:rPr>
            </w:pPr>
            <w:r>
              <w:rPr>
                <w:rFonts w:hint="eastAsia" w:ascii="仿宋_GB2312" w:hAnsi="宋体" w:eastAsia="仿宋_GB2312" w:cs="宋体"/>
              </w:rPr>
              <w:t>三</w:t>
            </w:r>
          </w:p>
        </w:tc>
        <w:tc>
          <w:tcPr>
            <w:tcW w:w="74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eastAsia="仿宋_GB2312" w:cs="宋体"/>
              </w:rPr>
            </w:pPr>
            <w:r>
              <w:rPr>
                <w:rFonts w:hint="eastAsia" w:ascii="仿宋_GB2312" w:hAnsi="宋体" w:eastAsia="仿宋_GB2312" w:cs="宋体"/>
              </w:rPr>
              <w:t>投入人员情况（满分10分）</w:t>
            </w:r>
          </w:p>
        </w:tc>
        <w:tc>
          <w:tcPr>
            <w:tcW w:w="28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ind w:firstLine="210" w:firstLineChars="100"/>
              <w:textAlignment w:val="center"/>
              <w:rPr>
                <w:rFonts w:hint="eastAsia" w:ascii="仿宋_GB2312" w:hAnsi="宋体" w:eastAsia="仿宋_GB2312" w:cs="宋体"/>
              </w:rPr>
            </w:pPr>
            <w:r>
              <w:rPr>
                <w:rFonts w:hint="eastAsia" w:ascii="仿宋_GB2312" w:hAnsi="宋体" w:eastAsia="仿宋_GB2312" w:cs="宋体"/>
              </w:rPr>
              <w:t>拟投入的项目负责人具有中级及以上职称，且从事</w:t>
            </w:r>
            <w:r>
              <w:rPr>
                <w:rFonts w:hint="eastAsia" w:ascii="仿宋_GB2312" w:hAnsi="宋体" w:eastAsia="仿宋_GB2312" w:cs="宋体"/>
                <w:lang w:eastAsia="zh-CN"/>
              </w:rPr>
              <w:t>监理服务</w:t>
            </w:r>
            <w:r>
              <w:rPr>
                <w:rFonts w:hint="eastAsia" w:ascii="仿宋_GB2312" w:hAnsi="宋体" w:eastAsia="仿宋_GB2312" w:cs="宋体"/>
              </w:rPr>
              <w:t>工作经历在</w:t>
            </w:r>
            <w:r>
              <w:rPr>
                <w:rFonts w:hint="eastAsia" w:ascii="仿宋_GB2312" w:hAnsi="宋体" w:eastAsia="仿宋_GB2312" w:cs="宋体"/>
                <w:lang w:val="en-US" w:eastAsia="zh-CN"/>
              </w:rPr>
              <w:t>3</w:t>
            </w:r>
            <w:r>
              <w:rPr>
                <w:rFonts w:hint="eastAsia" w:ascii="仿宋_GB2312" w:hAnsi="宋体" w:eastAsia="仿宋_GB2312" w:cs="宋体"/>
              </w:rPr>
              <w:t>年（含）以上的，得10分。注：提供项目负责人近</w:t>
            </w:r>
            <w:r>
              <w:rPr>
                <w:rFonts w:hint="eastAsia" w:ascii="仿宋_GB2312" w:hAnsi="宋体" w:eastAsia="仿宋_GB2312" w:cs="宋体"/>
                <w:lang w:val="en-US" w:eastAsia="zh-CN"/>
              </w:rPr>
              <w:t>3</w:t>
            </w:r>
            <w:r>
              <w:rPr>
                <w:rFonts w:hint="eastAsia" w:ascii="仿宋_GB2312" w:hAnsi="宋体" w:eastAsia="仿宋_GB2312" w:cs="宋体"/>
              </w:rPr>
              <w:t>年的社保缴纳证明复印件</w:t>
            </w:r>
          </w:p>
        </w:tc>
        <w:tc>
          <w:tcPr>
            <w:tcW w:w="1179" w:type="pct"/>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center"/>
              <w:rPr>
                <w:rFonts w:hint="eastAsia" w:ascii="仿宋_GB2312" w:hAnsi="宋体" w:eastAsia="仿宋_GB2312" w:cs="宋体"/>
                <w:b/>
                <w:bCs/>
                <w:sz w:val="24"/>
              </w:rPr>
            </w:pPr>
          </w:p>
        </w:tc>
      </w:tr>
      <w:tr>
        <w:tblPrEx>
          <w:tblCellMar>
            <w:top w:w="0" w:type="dxa"/>
            <w:left w:w="0" w:type="dxa"/>
            <w:bottom w:w="0" w:type="dxa"/>
            <w:right w:w="0" w:type="dxa"/>
          </w:tblCellMar>
        </w:tblPrEx>
        <w:trPr>
          <w:trHeight w:val="462" w:hRule="atLeast"/>
          <w:jc w:val="center"/>
        </w:trPr>
        <w:tc>
          <w:tcPr>
            <w:tcW w:w="219"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300" w:lineRule="exact"/>
              <w:jc w:val="center"/>
              <w:textAlignment w:val="center"/>
              <w:rPr>
                <w:rFonts w:hint="eastAsia" w:ascii="仿宋_GB2312" w:hAnsi="宋体" w:eastAsia="仿宋_GB2312" w:cs="宋体"/>
              </w:rPr>
            </w:pPr>
            <w:r>
              <w:rPr>
                <w:rFonts w:hint="eastAsia" w:ascii="仿宋_GB2312" w:hAnsi="宋体" w:eastAsia="仿宋_GB2312" w:cs="宋体"/>
              </w:rPr>
              <w:t>四</w:t>
            </w:r>
          </w:p>
        </w:tc>
        <w:tc>
          <w:tcPr>
            <w:tcW w:w="74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eastAsia="仿宋_GB2312" w:cs="宋体"/>
              </w:rPr>
            </w:pPr>
            <w:r>
              <w:rPr>
                <w:rFonts w:hint="eastAsia" w:ascii="仿宋_GB2312" w:hAnsi="宋体" w:eastAsia="仿宋_GB2312" w:cs="宋体"/>
              </w:rPr>
              <w:t>服务方案（满分60分）</w:t>
            </w:r>
          </w:p>
        </w:tc>
        <w:tc>
          <w:tcPr>
            <w:tcW w:w="28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line="300" w:lineRule="exact"/>
              <w:ind w:firstLine="210" w:firstLineChars="100"/>
              <w:jc w:val="both"/>
              <w:rPr>
                <w:rFonts w:ascii="仿宋_GB2312" w:hAnsi="宋体" w:eastAsia="仿宋_GB2312" w:cs="宋体"/>
                <w:kern w:val="2"/>
                <w:sz w:val="21"/>
              </w:rPr>
            </w:pPr>
            <w:r>
              <w:rPr>
                <w:rFonts w:hint="eastAsia" w:ascii="仿宋_GB2312" w:hAnsi="宋体" w:eastAsia="仿宋_GB2312" w:cs="宋体"/>
                <w:kern w:val="2"/>
                <w:sz w:val="21"/>
              </w:rPr>
              <w:t>根据投标人提供的</w:t>
            </w:r>
            <w:r>
              <w:rPr>
                <w:rFonts w:hint="eastAsia" w:ascii="仿宋_GB2312" w:hAnsi="宋体" w:eastAsia="仿宋_GB2312" w:cs="宋体"/>
                <w:kern w:val="2"/>
                <w:sz w:val="21"/>
                <w:lang w:eastAsia="zh-CN"/>
              </w:rPr>
              <w:t>监理</w:t>
            </w:r>
            <w:r>
              <w:rPr>
                <w:rFonts w:hint="eastAsia" w:ascii="仿宋_GB2312" w:hAnsi="宋体" w:eastAsia="仿宋_GB2312" w:cs="宋体"/>
                <w:kern w:val="2"/>
                <w:sz w:val="21"/>
              </w:rPr>
              <w:t>服务方案完整性，方案和思路清晰、内容全面，实施办法科学合理、工作程序针对性情况进行比较，确定各响应投标人所属档次，然后在相应档次内打分。</w:t>
            </w:r>
          </w:p>
          <w:p>
            <w:pPr>
              <w:pStyle w:val="2"/>
              <w:spacing w:line="300" w:lineRule="exact"/>
              <w:ind w:firstLine="420" w:firstLineChars="200"/>
              <w:jc w:val="both"/>
              <w:rPr>
                <w:rFonts w:ascii="仿宋_GB2312" w:hAnsi="宋体" w:eastAsia="仿宋_GB2312" w:cs="宋体"/>
                <w:kern w:val="2"/>
                <w:sz w:val="21"/>
              </w:rPr>
            </w:pPr>
            <w:r>
              <w:rPr>
                <w:rFonts w:hint="eastAsia" w:ascii="仿宋_GB2312" w:hAnsi="宋体" w:eastAsia="仿宋_GB2312" w:cs="宋体"/>
                <w:kern w:val="2"/>
                <w:sz w:val="21"/>
              </w:rPr>
              <w:t>第一档0-15分：针对性和完整性较差。</w:t>
            </w:r>
          </w:p>
          <w:p>
            <w:pPr>
              <w:pStyle w:val="2"/>
              <w:spacing w:line="300" w:lineRule="exact"/>
              <w:ind w:firstLine="420" w:firstLineChars="200"/>
              <w:jc w:val="both"/>
              <w:rPr>
                <w:rFonts w:hint="eastAsia" w:ascii="仿宋_GB2312" w:hAnsi="宋体" w:eastAsia="仿宋_GB2312" w:cs="宋体"/>
                <w:kern w:val="2"/>
                <w:sz w:val="21"/>
              </w:rPr>
            </w:pPr>
            <w:r>
              <w:rPr>
                <w:rFonts w:hint="eastAsia" w:ascii="仿宋_GB2312" w:hAnsi="宋体" w:eastAsia="仿宋_GB2312" w:cs="宋体"/>
                <w:kern w:val="2"/>
                <w:sz w:val="21"/>
              </w:rPr>
              <w:t>第二档16-30分：</w:t>
            </w:r>
            <w:r>
              <w:rPr>
                <w:rFonts w:hint="eastAsia" w:ascii="仿宋_GB2312" w:hAnsi="宋体" w:eastAsia="仿宋_GB2312" w:cs="宋体"/>
              </w:rPr>
              <w:t>针对性和完整性一般。</w:t>
            </w:r>
          </w:p>
          <w:p>
            <w:pPr>
              <w:widowControl/>
              <w:spacing w:line="300" w:lineRule="exact"/>
              <w:ind w:firstLine="420" w:firstLineChars="200"/>
              <w:textAlignment w:val="center"/>
              <w:rPr>
                <w:rFonts w:hint="eastAsia" w:ascii="仿宋_GB2312" w:hAnsi="宋体" w:eastAsia="仿宋_GB2312" w:cs="宋体"/>
              </w:rPr>
            </w:pPr>
            <w:r>
              <w:rPr>
                <w:rFonts w:hint="eastAsia" w:ascii="仿宋_GB2312" w:hAnsi="宋体" w:eastAsia="仿宋_GB2312" w:cs="宋体"/>
              </w:rPr>
              <w:t>第三档31-45分：针对性和完整性良好。</w:t>
            </w:r>
          </w:p>
          <w:p>
            <w:pPr>
              <w:widowControl/>
              <w:spacing w:line="300" w:lineRule="exact"/>
              <w:ind w:firstLine="420" w:firstLineChars="200"/>
              <w:textAlignment w:val="center"/>
              <w:rPr>
                <w:rFonts w:hint="eastAsia" w:ascii="仿宋_GB2312" w:hAnsi="宋体" w:eastAsia="仿宋_GB2312" w:cs="宋体"/>
              </w:rPr>
            </w:pPr>
            <w:r>
              <w:rPr>
                <w:rFonts w:hint="eastAsia" w:ascii="仿宋_GB2312" w:hAnsi="宋体" w:eastAsia="仿宋_GB2312" w:cs="宋体"/>
              </w:rPr>
              <w:t>第四档 46-60分：针对性和完整性优秀。</w:t>
            </w:r>
          </w:p>
        </w:tc>
        <w:tc>
          <w:tcPr>
            <w:tcW w:w="1179" w:type="pct"/>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center"/>
              <w:rPr>
                <w:rFonts w:hint="eastAsia" w:ascii="仿宋_GB2312" w:hAnsi="宋体" w:eastAsia="仿宋_GB2312" w:cs="宋体"/>
                <w:b/>
                <w:bCs/>
                <w:sz w:val="24"/>
              </w:rPr>
            </w:pPr>
          </w:p>
        </w:tc>
      </w:tr>
      <w:tr>
        <w:tblPrEx>
          <w:tblCellMar>
            <w:top w:w="0" w:type="dxa"/>
            <w:left w:w="0" w:type="dxa"/>
            <w:bottom w:w="0" w:type="dxa"/>
            <w:right w:w="0" w:type="dxa"/>
          </w:tblCellMar>
        </w:tblPrEx>
        <w:trPr>
          <w:trHeight w:val="519" w:hRule="atLeast"/>
          <w:jc w:val="center"/>
        </w:trPr>
        <w:tc>
          <w:tcPr>
            <w:tcW w:w="219"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eastAsia="仿宋_GB2312" w:cs="宋体"/>
              </w:rPr>
            </w:pPr>
            <w:r>
              <w:rPr>
                <w:rFonts w:hint="eastAsia" w:ascii="仿宋_GB2312" w:hAnsi="宋体" w:eastAsia="仿宋_GB2312" w:cs="宋体"/>
              </w:rPr>
              <w:t>五</w:t>
            </w:r>
          </w:p>
        </w:tc>
        <w:tc>
          <w:tcPr>
            <w:tcW w:w="3600" w:type="pct"/>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eastAsia="仿宋_GB2312" w:cs="宋体"/>
                <w:b/>
                <w:bCs/>
              </w:rPr>
            </w:pPr>
            <w:r>
              <w:rPr>
                <w:rFonts w:hint="eastAsia" w:ascii="仿宋_GB2312" w:hAnsi="宋体" w:eastAsia="仿宋_GB2312" w:cs="宋体"/>
                <w:b/>
                <w:bCs/>
              </w:rPr>
              <w:t>总分=业绩分+信誉分+投入人员分+服务方案分</w:t>
            </w:r>
          </w:p>
        </w:tc>
        <w:tc>
          <w:tcPr>
            <w:tcW w:w="1179" w:type="pct"/>
            <w:tcBorders>
              <w:top w:val="single" w:color="000000" w:sz="4" w:space="0"/>
              <w:left w:val="single" w:color="auto" w:sz="4" w:space="0"/>
              <w:bottom w:val="single" w:color="000000" w:sz="4" w:space="0"/>
              <w:right w:val="single" w:color="000000" w:sz="4" w:space="0"/>
            </w:tcBorders>
          </w:tcPr>
          <w:p>
            <w:pPr>
              <w:widowControl/>
              <w:spacing w:line="300" w:lineRule="exact"/>
              <w:jc w:val="center"/>
              <w:textAlignment w:val="center"/>
              <w:rPr>
                <w:rFonts w:hint="eastAsia" w:ascii="仿宋_GB2312" w:hAnsi="宋体" w:eastAsia="仿宋_GB2312" w:cs="宋体"/>
                <w:b/>
                <w:bCs/>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TYyMGM3YzI0MjljNGY2OTQxMTdhZjllZmZjMTgifQ=="/>
  </w:docVars>
  <w:rsids>
    <w:rsidRoot w:val="00871E1B"/>
    <w:rsid w:val="00506130"/>
    <w:rsid w:val="00871E1B"/>
    <w:rsid w:val="086E1AA3"/>
    <w:rsid w:val="090412D1"/>
    <w:rsid w:val="0B837613"/>
    <w:rsid w:val="10343790"/>
    <w:rsid w:val="132D162B"/>
    <w:rsid w:val="185C36C6"/>
    <w:rsid w:val="1EC65D3D"/>
    <w:rsid w:val="215A77B7"/>
    <w:rsid w:val="33291F9F"/>
    <w:rsid w:val="37643EED"/>
    <w:rsid w:val="37E868CC"/>
    <w:rsid w:val="40D914A8"/>
    <w:rsid w:val="41140732"/>
    <w:rsid w:val="4CB66B41"/>
    <w:rsid w:val="544669FD"/>
    <w:rsid w:val="5E8A1CDF"/>
    <w:rsid w:val="60234096"/>
    <w:rsid w:val="62427522"/>
    <w:rsid w:val="637C2B6A"/>
    <w:rsid w:val="677D333A"/>
    <w:rsid w:val="6A222CC8"/>
    <w:rsid w:val="6C5F6456"/>
    <w:rsid w:val="71C7555A"/>
    <w:rsid w:val="73E03D2E"/>
    <w:rsid w:val="75C80BC8"/>
    <w:rsid w:val="77F008AA"/>
    <w:rsid w:val="78F44A71"/>
    <w:rsid w:val="7A8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qFormat/>
    <w:uiPriority w:val="99"/>
    <w:pPr>
      <w:jc w:val="left"/>
    </w:pPr>
    <w:rPr>
      <w:rFonts w:ascii="宋体" w:hAnsi="Times New Roman"/>
      <w:kern w:val="0"/>
      <w:sz w:val="20"/>
      <w:szCs w:val="21"/>
    </w:rPr>
  </w:style>
  <w:style w:type="character" w:customStyle="1" w:styleId="5">
    <w:name w:val="纯文本 Char"/>
    <w:basedOn w:val="4"/>
    <w:link w:val="2"/>
    <w:qFormat/>
    <w:uiPriority w:val="99"/>
    <w:rPr>
      <w:rFonts w:ascii="宋体" w:hAnsi="Times New Roman" w:eastAsia="宋体" w:cs="Times New Roman"/>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106</Words>
  <Characters>607</Characters>
  <Lines>5</Lines>
  <Paragraphs>1</Paragraphs>
  <TotalTime>46</TotalTime>
  <ScaleCrop>false</ScaleCrop>
  <LinksUpToDate>false</LinksUpToDate>
  <CharactersWithSpaces>712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2023-08-11T08:40:00Z</dcterms:created>
  <dc:creator>Administator</dc:creator>
  <cp:lastModifiedBy>湘～</cp:lastModifiedBy>
  <dcterms:modified xsi:type="dcterms:W3CDTF">2023-09-07T02:28:53Z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65551AD78FF646519033B2A0BA7B5F3A_12</vt:lpwstr>
  </property>
</Properties>
</file>